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2648" w14:textId="2446461E" w:rsidR="00C5664E" w:rsidRPr="000B2BB6" w:rsidRDefault="00FE66BA" w:rsidP="00FE66BA">
      <w:pPr>
        <w:spacing w:after="0"/>
        <w:ind w:left="720" w:hanging="360"/>
        <w:jc w:val="center"/>
        <w:rPr>
          <w:rFonts w:cstheme="minorHAnsi"/>
          <w:b/>
          <w:bCs/>
          <w:color w:val="70AD47" w:themeColor="accent6"/>
          <w:sz w:val="24"/>
          <w:szCs w:val="24"/>
        </w:rPr>
      </w:pPr>
      <w:r>
        <w:rPr>
          <w:noProof/>
        </w:rPr>
        <w:drawing>
          <wp:inline distT="0" distB="0" distL="0" distR="0" wp14:anchorId="653DD43B" wp14:editId="5BA7FB6B">
            <wp:extent cx="6086246" cy="3525926"/>
            <wp:effectExtent l="0" t="0" r="0" b="0"/>
            <wp:docPr id="155718821" name="Image 1" descr="Une image contenant texte, plant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8821" name="Image 1" descr="Une image contenant texte, plante, graphisme, logo&#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6246" cy="3525926"/>
                    </a:xfrm>
                    <a:prstGeom prst="rect">
                      <a:avLst/>
                    </a:prstGeom>
                  </pic:spPr>
                </pic:pic>
              </a:graphicData>
            </a:graphic>
          </wp:inline>
        </w:drawing>
      </w:r>
    </w:p>
    <w:p w14:paraId="6A3F7A50" w14:textId="18E2C389" w:rsidR="004353D7" w:rsidRDefault="00A51333" w:rsidP="00AC4A80">
      <w:pPr>
        <w:jc w:val="center"/>
        <w:rPr>
          <w:rFonts w:cstheme="minorHAnsi"/>
          <w:b/>
          <w:bCs/>
          <w:color w:val="70AD47" w:themeColor="accent6"/>
          <w:sz w:val="28"/>
          <w:szCs w:val="28"/>
        </w:rPr>
      </w:pPr>
      <w:r>
        <w:rPr>
          <w:rFonts w:cstheme="minorHAnsi"/>
          <w:b/>
          <w:bCs/>
          <w:color w:val="70AD47" w:themeColor="accent6"/>
          <w:sz w:val="28"/>
          <w:szCs w:val="28"/>
        </w:rPr>
        <w:t>RÈGLEMENT DU CONCOURS</w:t>
      </w:r>
      <w:r w:rsidR="00930B5D" w:rsidRPr="00715007">
        <w:rPr>
          <w:rFonts w:cstheme="minorHAnsi"/>
          <w:b/>
          <w:bCs/>
          <w:color w:val="70AD47" w:themeColor="accent6"/>
          <w:sz w:val="28"/>
          <w:szCs w:val="28"/>
        </w:rPr>
        <w:t xml:space="preserve"> </w:t>
      </w:r>
      <w:r w:rsidR="003911AF">
        <w:rPr>
          <w:rFonts w:cstheme="minorHAnsi"/>
          <w:b/>
          <w:bCs/>
          <w:color w:val="70AD47" w:themeColor="accent6"/>
          <w:sz w:val="28"/>
          <w:szCs w:val="28"/>
        </w:rPr>
        <w:t xml:space="preserve">DE L’ÉDITION </w:t>
      </w:r>
      <w:r w:rsidR="00930B5D" w:rsidRPr="00715007">
        <w:rPr>
          <w:rFonts w:cstheme="minorHAnsi"/>
          <w:b/>
          <w:bCs/>
          <w:color w:val="70AD47" w:themeColor="accent6"/>
          <w:sz w:val="28"/>
          <w:szCs w:val="28"/>
        </w:rPr>
        <w:t>202</w:t>
      </w:r>
      <w:r w:rsidR="00FE66BA">
        <w:rPr>
          <w:rFonts w:cstheme="minorHAnsi"/>
          <w:b/>
          <w:bCs/>
          <w:color w:val="70AD47" w:themeColor="accent6"/>
          <w:sz w:val="28"/>
          <w:szCs w:val="28"/>
        </w:rPr>
        <w:t>5</w:t>
      </w:r>
    </w:p>
    <w:p w14:paraId="03A68B95" w14:textId="77777777" w:rsidR="004353D7" w:rsidRPr="000B2BB6" w:rsidRDefault="004353D7" w:rsidP="004353D7">
      <w:pPr>
        <w:jc w:val="center"/>
        <w:rPr>
          <w:rFonts w:cstheme="minorHAnsi"/>
          <w:b/>
          <w:bCs/>
          <w:color w:val="70AD47" w:themeColor="accent6"/>
          <w:sz w:val="18"/>
          <w:szCs w:val="18"/>
        </w:rPr>
      </w:pPr>
    </w:p>
    <w:p w14:paraId="7EB99E1B" w14:textId="19439A8A" w:rsidR="001A5896" w:rsidRPr="00647591" w:rsidRDefault="00F7207E" w:rsidP="00F7207E">
      <w:pPr>
        <w:pStyle w:val="NormalWeb"/>
        <w:pBdr>
          <w:bottom w:val="single" w:sz="4" w:space="1" w:color="70AD47" w:themeColor="accent6"/>
        </w:pBdr>
        <w:spacing w:before="240" w:beforeAutospacing="0" w:after="0" w:afterAutospacing="0"/>
        <w:rPr>
          <w:rFonts w:asciiTheme="minorHAnsi" w:hAnsiTheme="minorHAnsi" w:cstheme="minorHAnsi"/>
          <w:b/>
          <w:color w:val="70AD47" w:themeColor="accent6"/>
          <w:sz w:val="22"/>
          <w:szCs w:val="22"/>
        </w:rPr>
      </w:pPr>
      <w:r>
        <w:rPr>
          <w:rFonts w:asciiTheme="minorHAnsi" w:eastAsia="OpenSymbol" w:hAnsiTheme="minorHAnsi" w:cstheme="minorHAnsi"/>
          <w:b/>
          <w:color w:val="70AD47" w:themeColor="accent6"/>
          <w:kern w:val="24"/>
          <w:sz w:val="22"/>
          <w:szCs w:val="22"/>
        </w:rPr>
        <w:t>1</w:t>
      </w:r>
      <w:r>
        <w:rPr>
          <w:rFonts w:asciiTheme="minorHAnsi" w:eastAsia="OpenSymbol" w:hAnsiTheme="minorHAnsi" w:cstheme="minorHAnsi"/>
          <w:b/>
          <w:color w:val="70AD47" w:themeColor="accent6"/>
          <w:kern w:val="24"/>
          <w:sz w:val="22"/>
          <w:szCs w:val="22"/>
        </w:rPr>
        <w:tab/>
      </w:r>
      <w:r w:rsidRPr="00647591">
        <w:rPr>
          <w:rFonts w:asciiTheme="minorHAnsi" w:eastAsia="OpenSymbol" w:hAnsiTheme="minorHAnsi" w:cstheme="minorHAnsi"/>
          <w:b/>
          <w:color w:val="70AD47" w:themeColor="accent6"/>
          <w:kern w:val="24"/>
          <w:sz w:val="22"/>
          <w:szCs w:val="22"/>
        </w:rPr>
        <w:t>ORGANISATION</w:t>
      </w:r>
    </w:p>
    <w:p w14:paraId="2634815E" w14:textId="3DC30C3F" w:rsidR="002E327D" w:rsidRDefault="002E327D" w:rsidP="00822E24">
      <w:pPr>
        <w:spacing w:before="240"/>
        <w:jc w:val="both"/>
      </w:pPr>
      <w:r>
        <w:t>Le prix du Chasseur Aménageur est organisé par l’Asbl Faune &amp; Biotopes.</w:t>
      </w:r>
    </w:p>
    <w:p w14:paraId="79418044" w14:textId="70EB0298" w:rsidR="005C24E3" w:rsidRDefault="005C24E3" w:rsidP="00822E24">
      <w:pPr>
        <w:pStyle w:val="NormalWeb"/>
        <w:spacing w:before="0" w:beforeAutospacing="0" w:after="0" w:afterAutospacing="0"/>
        <w:rPr>
          <w:rFonts w:asciiTheme="minorHAnsi" w:eastAsia="OpenSymbol" w:hAnsiTheme="minorHAnsi" w:cstheme="minorHAnsi"/>
          <w:b/>
          <w:color w:val="838104"/>
          <w:kern w:val="24"/>
          <w:sz w:val="22"/>
          <w:szCs w:val="22"/>
        </w:rPr>
      </w:pPr>
    </w:p>
    <w:p w14:paraId="6AF01D39" w14:textId="12251A2E" w:rsidR="002E327D" w:rsidRPr="00520F1D" w:rsidRDefault="00F7207E" w:rsidP="00F7207E">
      <w:pPr>
        <w:pStyle w:val="NormalWeb"/>
        <w:pBdr>
          <w:bottom w:val="single" w:sz="4" w:space="1" w:color="70AD47" w:themeColor="accent6"/>
        </w:pBdr>
        <w:spacing w:before="0" w:beforeAutospacing="0" w:after="0" w:afterAutospacing="0"/>
        <w:rPr>
          <w:rFonts w:asciiTheme="minorHAnsi" w:hAnsiTheme="minorHAnsi" w:cstheme="minorHAnsi"/>
          <w:b/>
          <w:color w:val="70AD47" w:themeColor="accent6"/>
          <w:sz w:val="22"/>
          <w:szCs w:val="22"/>
        </w:rPr>
      </w:pPr>
      <w:r>
        <w:rPr>
          <w:rFonts w:asciiTheme="minorHAnsi" w:eastAsia="OpenSymbol" w:hAnsiTheme="minorHAnsi" w:cstheme="minorHAnsi"/>
          <w:b/>
          <w:color w:val="70AD47" w:themeColor="accent6"/>
          <w:kern w:val="24"/>
          <w:sz w:val="22"/>
          <w:szCs w:val="22"/>
        </w:rPr>
        <w:t>2</w:t>
      </w:r>
      <w:r>
        <w:rPr>
          <w:rFonts w:asciiTheme="minorHAnsi" w:eastAsia="OpenSymbol" w:hAnsiTheme="minorHAnsi" w:cstheme="minorHAnsi"/>
          <w:b/>
          <w:color w:val="70AD47" w:themeColor="accent6"/>
          <w:kern w:val="24"/>
          <w:sz w:val="22"/>
          <w:szCs w:val="22"/>
        </w:rPr>
        <w:tab/>
        <w:t>CONDITIONS GÉNÉRALES</w:t>
      </w:r>
    </w:p>
    <w:p w14:paraId="6D4EB76C" w14:textId="77777777" w:rsidR="005C24E3" w:rsidRPr="005C4D72" w:rsidRDefault="005C24E3" w:rsidP="00822E24">
      <w:pPr>
        <w:pStyle w:val="NormalWeb"/>
        <w:spacing w:before="0" w:beforeAutospacing="0" w:after="0" w:afterAutospacing="0"/>
        <w:rPr>
          <w:rFonts w:asciiTheme="minorHAnsi" w:eastAsia="OpenSymbol" w:hAnsiTheme="minorHAnsi" w:cstheme="minorHAnsi"/>
          <w:b/>
          <w:color w:val="838104"/>
          <w:kern w:val="24"/>
          <w:sz w:val="22"/>
          <w:szCs w:val="22"/>
        </w:rPr>
      </w:pPr>
    </w:p>
    <w:p w14:paraId="185FD20E" w14:textId="55588E44" w:rsidR="0031261B" w:rsidRDefault="0031261B" w:rsidP="00822E24">
      <w:pPr>
        <w:jc w:val="both"/>
      </w:pPr>
      <w:r>
        <w:t>Ce prix a pour but d’illustrer les aménagements faunistiques pouvant être réalisés sur un territoire de chasse en Wallonie. En participant à ce prix, le chasseur manifeste son intérêt envers la nature et la ruralité wallonne. Le prix du Chasseur Aménageur récompense des initiatives exemplaires, menées par des chasseurs, en faveur de la biodiversité et de la faune sauvage.</w:t>
      </w:r>
    </w:p>
    <w:p w14:paraId="2F0A20C1" w14:textId="07644ABD" w:rsidR="0031261B" w:rsidRDefault="0031261B" w:rsidP="00822E24">
      <w:pPr>
        <w:jc w:val="both"/>
      </w:pPr>
      <w:r>
        <w:t xml:space="preserve">L’inscription est gratuite et se fait via un dossier à envoyer par mail à </w:t>
      </w:r>
      <w:hyperlink r:id="rId11" w:history="1">
        <w:r w:rsidR="001A5896" w:rsidRPr="00214B30">
          <w:rPr>
            <w:rStyle w:val="Lienhypertexte"/>
          </w:rPr>
          <w:t>adelalieux@faune-biotopes.be</w:t>
        </w:r>
      </w:hyperlink>
      <w:r>
        <w:rPr>
          <w:rStyle w:val="Lienhypertexte"/>
        </w:rPr>
        <w:t>.</w:t>
      </w:r>
      <w:r>
        <w:t xml:space="preserve"> Les dossiers trop volumineux peuvent être envoyés par lien </w:t>
      </w:r>
      <w:proofErr w:type="spellStart"/>
      <w:r>
        <w:t>wetransfer</w:t>
      </w:r>
      <w:proofErr w:type="spellEnd"/>
      <w:r>
        <w:t xml:space="preserve"> à cette même adresse</w:t>
      </w:r>
      <w:r w:rsidR="00075002">
        <w:t>.</w:t>
      </w:r>
      <w:r w:rsidR="00894385">
        <w:t xml:space="preserve"> </w:t>
      </w:r>
    </w:p>
    <w:p w14:paraId="0B4C3698" w14:textId="77777777" w:rsidR="001A5896" w:rsidRDefault="001A5896" w:rsidP="00822E24">
      <w:pPr>
        <w:jc w:val="both"/>
      </w:pPr>
      <w:r>
        <w:t>Les lauréats acceptent :</w:t>
      </w:r>
    </w:p>
    <w:p w14:paraId="05D70B83" w14:textId="5AF79170" w:rsidR="001A5896" w:rsidRDefault="001A5896" w:rsidP="00DD48E6">
      <w:pPr>
        <w:pStyle w:val="Paragraphedeliste"/>
        <w:numPr>
          <w:ilvl w:val="0"/>
          <w:numId w:val="6"/>
        </w:numPr>
        <w:ind w:left="700"/>
        <w:jc w:val="both"/>
      </w:pPr>
      <w:r>
        <w:t>de faire visiter leur territoire de chasse aux organisateurs du prix et aux membres du jury ;</w:t>
      </w:r>
    </w:p>
    <w:p w14:paraId="25E14D19" w14:textId="091FCE17" w:rsidR="001A5896" w:rsidRDefault="001A5896" w:rsidP="00DD48E6">
      <w:pPr>
        <w:pStyle w:val="Paragraphedeliste"/>
        <w:numPr>
          <w:ilvl w:val="0"/>
          <w:numId w:val="6"/>
        </w:numPr>
        <w:ind w:left="700"/>
        <w:jc w:val="both"/>
      </w:pPr>
      <w:r>
        <w:t>qu’une communication positive et valorisante du chasseur soit réalisée.</w:t>
      </w:r>
      <w:r w:rsidR="00EA5F3D" w:rsidRPr="00EA5F3D">
        <w:rPr>
          <w:noProof/>
        </w:rPr>
        <w:t xml:space="preserve"> </w:t>
      </w:r>
    </w:p>
    <w:p w14:paraId="4F578DE0" w14:textId="782260BE" w:rsidR="001A5896" w:rsidRDefault="001A5896" w:rsidP="00822E24">
      <w:pPr>
        <w:jc w:val="both"/>
      </w:pPr>
      <w:r>
        <w:t>La participation au prix implique l’acceptation du règlement.</w:t>
      </w:r>
    </w:p>
    <w:p w14:paraId="6CEAA363" w14:textId="5CDDD6BA" w:rsidR="001A5896" w:rsidRDefault="001A5896" w:rsidP="00822E24">
      <w:pPr>
        <w:jc w:val="both"/>
      </w:pPr>
      <w:r>
        <w:t>Ce prix est ouvert à tous sauf aux membres du jury ainsi qu’aux membres de l’organisation.</w:t>
      </w:r>
    </w:p>
    <w:p w14:paraId="008B0514" w14:textId="030F8EB6" w:rsidR="001A5896" w:rsidRDefault="001A5896" w:rsidP="00822E24">
      <w:pPr>
        <w:jc w:val="both"/>
      </w:pPr>
      <w:r>
        <w:t>La langue officielle du prix est le français. Les échanges se feront donc dans cette langue.</w:t>
      </w:r>
    </w:p>
    <w:p w14:paraId="06E29D62" w14:textId="07FBDF6C" w:rsidR="00822E24" w:rsidRDefault="00822E24" w:rsidP="00822E24">
      <w:pPr>
        <w:jc w:val="both"/>
      </w:pPr>
    </w:p>
    <w:p w14:paraId="31F7AA93" w14:textId="67368B3D" w:rsidR="00C5664E" w:rsidRDefault="00C5664E" w:rsidP="00822E24">
      <w:pPr>
        <w:jc w:val="both"/>
      </w:pPr>
    </w:p>
    <w:p w14:paraId="307B7535" w14:textId="052CE709" w:rsidR="001A5896" w:rsidRPr="00822E24" w:rsidRDefault="00482EA8" w:rsidP="00482EA8">
      <w:pPr>
        <w:pStyle w:val="NormalWeb"/>
        <w:pBdr>
          <w:bottom w:val="single" w:sz="4" w:space="1" w:color="70AD47" w:themeColor="accent6"/>
        </w:pBdr>
        <w:spacing w:before="240" w:beforeAutospacing="0" w:after="0" w:afterAutospacing="0"/>
        <w:rPr>
          <w:rFonts w:asciiTheme="minorHAnsi" w:hAnsiTheme="minorHAnsi" w:cstheme="minorHAnsi"/>
          <w:b/>
          <w:color w:val="70AD47" w:themeColor="accent6"/>
          <w:sz w:val="22"/>
          <w:szCs w:val="22"/>
        </w:rPr>
      </w:pPr>
      <w:r>
        <w:rPr>
          <w:rFonts w:asciiTheme="minorHAnsi" w:eastAsia="OpenSymbol" w:hAnsiTheme="minorHAnsi" w:cstheme="minorHAnsi"/>
          <w:b/>
          <w:color w:val="70AD47" w:themeColor="accent6"/>
          <w:kern w:val="24"/>
          <w:sz w:val="22"/>
          <w:szCs w:val="22"/>
        </w:rPr>
        <w:lastRenderedPageBreak/>
        <w:t>3</w:t>
      </w:r>
      <w:r>
        <w:rPr>
          <w:rFonts w:asciiTheme="minorHAnsi" w:eastAsia="OpenSymbol" w:hAnsiTheme="minorHAnsi" w:cstheme="minorHAnsi"/>
          <w:b/>
          <w:color w:val="70AD47" w:themeColor="accent6"/>
          <w:kern w:val="24"/>
          <w:sz w:val="22"/>
          <w:szCs w:val="22"/>
        </w:rPr>
        <w:tab/>
        <w:t>JURY ET PRIX</w:t>
      </w:r>
    </w:p>
    <w:p w14:paraId="5FD844BD" w14:textId="6C23319B" w:rsidR="00822E24" w:rsidRDefault="00822E24" w:rsidP="00822E24">
      <w:pPr>
        <w:spacing w:before="240"/>
        <w:jc w:val="both"/>
      </w:pPr>
      <w:r>
        <w:t xml:space="preserve">Le jury sera composé d’un conseiller scientifique, d’un représentant d’association cynégétique et environnementale ainsi que d’un membre de Faune &amp; Biotopes </w:t>
      </w:r>
      <w:proofErr w:type="spellStart"/>
      <w:r>
        <w:t>asbl</w:t>
      </w:r>
      <w:proofErr w:type="spellEnd"/>
      <w:r>
        <w:t>. Sa décision finale sera sans appel et ne devra être motivée.</w:t>
      </w:r>
    </w:p>
    <w:p w14:paraId="06D1E0BA" w14:textId="3A4F1278" w:rsidR="00822E24" w:rsidRDefault="00822E24" w:rsidP="00822E24">
      <w:pPr>
        <w:jc w:val="both"/>
      </w:pPr>
      <w:r>
        <w:t>Il déterminera trois prix récompensés par de nombreux lots </w:t>
      </w:r>
      <w:r w:rsidRPr="00DD5402">
        <w:t xml:space="preserve">: </w:t>
      </w:r>
      <w:r w:rsidR="00952497">
        <w:t xml:space="preserve">un bronze animalier, </w:t>
      </w:r>
      <w:r w:rsidRPr="00DD5402">
        <w:t xml:space="preserve">des semences de couverts faune, </w:t>
      </w:r>
      <w:r w:rsidR="00276631" w:rsidRPr="00DD5402">
        <w:t>des plants de haies</w:t>
      </w:r>
      <w:r w:rsidR="00A75D23" w:rsidRPr="00DD5402">
        <w:t xml:space="preserve">, </w:t>
      </w:r>
      <w:r w:rsidR="0061227F" w:rsidRPr="00DD5402">
        <w:t>une formation</w:t>
      </w:r>
      <w:r w:rsidR="00266AC3" w:rsidRPr="00DD5402">
        <w:t xml:space="preserve">, </w:t>
      </w:r>
      <w:r w:rsidR="00DD5402" w:rsidRPr="00DD5402">
        <w:t xml:space="preserve">du vin et des bulles, </w:t>
      </w:r>
      <w:r w:rsidR="00B47CCA" w:rsidRPr="00DD5402">
        <w:t xml:space="preserve">du matériel de piégeage, </w:t>
      </w:r>
      <w:r w:rsidR="00A75D23" w:rsidRPr="00DD5402">
        <w:t>des livres</w:t>
      </w:r>
      <w:r w:rsidRPr="00DD5402">
        <w:t>…</w:t>
      </w:r>
    </w:p>
    <w:p w14:paraId="041C0601" w14:textId="18333502" w:rsidR="00647591" w:rsidRDefault="00647591" w:rsidP="00647591">
      <w:pPr>
        <w:jc w:val="both"/>
      </w:pPr>
      <w:r>
        <w:t>Les territoires primés seront valorisés par la communication réalisée par l’Asbl Faune &amp; Biotopes sur son site web, sa page Facebook et tous articles sur le sujet dans les revues spécialisées.</w:t>
      </w:r>
    </w:p>
    <w:p w14:paraId="59A7C57C" w14:textId="77777777" w:rsidR="00647591" w:rsidRPr="0091160B" w:rsidRDefault="00647591" w:rsidP="00647591">
      <w:pPr>
        <w:jc w:val="both"/>
        <w:rPr>
          <w:sz w:val="18"/>
        </w:rPr>
      </w:pPr>
    </w:p>
    <w:p w14:paraId="546E9279" w14:textId="152B8850" w:rsidR="00482EA8" w:rsidRPr="00482EA8" w:rsidRDefault="00482EA8" w:rsidP="00482EA8">
      <w:pPr>
        <w:pStyle w:val="NormalWeb"/>
        <w:pBdr>
          <w:bottom w:val="single" w:sz="4" w:space="1" w:color="70AD47" w:themeColor="accent6"/>
        </w:pBdr>
        <w:spacing w:before="240" w:beforeAutospacing="0" w:after="0" w:afterAutospacing="0"/>
        <w:rPr>
          <w:rFonts w:asciiTheme="minorHAnsi" w:eastAsia="OpenSymbol" w:hAnsiTheme="minorHAnsi" w:cstheme="minorHAnsi"/>
          <w:b/>
          <w:color w:val="70AD47" w:themeColor="accent6"/>
          <w:kern w:val="24"/>
          <w:sz w:val="22"/>
          <w:szCs w:val="22"/>
        </w:rPr>
      </w:pPr>
      <w:r>
        <w:rPr>
          <w:rFonts w:asciiTheme="minorHAnsi" w:eastAsia="OpenSymbol" w:hAnsiTheme="minorHAnsi" w:cstheme="minorHAnsi"/>
          <w:b/>
          <w:color w:val="70AD47" w:themeColor="accent6"/>
          <w:kern w:val="24"/>
          <w:sz w:val="22"/>
          <w:szCs w:val="22"/>
        </w:rPr>
        <w:t>4</w:t>
      </w:r>
      <w:r>
        <w:rPr>
          <w:rFonts w:asciiTheme="minorHAnsi" w:eastAsia="OpenSymbol" w:hAnsiTheme="minorHAnsi" w:cstheme="minorHAnsi"/>
          <w:b/>
          <w:color w:val="70AD47" w:themeColor="accent6"/>
          <w:kern w:val="24"/>
          <w:sz w:val="22"/>
          <w:szCs w:val="22"/>
        </w:rPr>
        <w:tab/>
      </w:r>
      <w:r w:rsidRPr="00482EA8">
        <w:rPr>
          <w:rFonts w:asciiTheme="minorHAnsi" w:eastAsia="OpenSymbol" w:hAnsiTheme="minorHAnsi" w:cstheme="minorHAnsi"/>
          <w:b/>
          <w:color w:val="70AD47" w:themeColor="accent6"/>
          <w:kern w:val="24"/>
          <w:sz w:val="22"/>
          <w:szCs w:val="22"/>
        </w:rPr>
        <w:t>PROCÉDURE</w:t>
      </w:r>
    </w:p>
    <w:p w14:paraId="074F92BA" w14:textId="59A2777C" w:rsidR="00BD1A2E" w:rsidRDefault="00BD1A2E" w:rsidP="00BD1A2E">
      <w:pPr>
        <w:spacing w:before="240"/>
        <w:jc w:val="both"/>
      </w:pPr>
      <w:r>
        <w:t>Le dossier doit obligatoirement comprendre les éléments suivants :</w:t>
      </w:r>
    </w:p>
    <w:p w14:paraId="12BCA897" w14:textId="77777777" w:rsidR="00BD1A2E" w:rsidRDefault="00BD1A2E" w:rsidP="00BD1A2E">
      <w:pPr>
        <w:pStyle w:val="Paragraphedeliste"/>
        <w:numPr>
          <w:ilvl w:val="0"/>
          <w:numId w:val="9"/>
        </w:numPr>
        <w:jc w:val="both"/>
      </w:pPr>
      <w:r w:rsidRPr="00A13802">
        <w:rPr>
          <w:b/>
          <w:i/>
        </w:rPr>
        <w:t>Coordonnées complètes du candidat</w:t>
      </w:r>
      <w:r>
        <w:t> : nom, prénom, adresse, date de naissance ;</w:t>
      </w:r>
    </w:p>
    <w:p w14:paraId="6A9C531D" w14:textId="77777777" w:rsidR="00BD1A2E" w:rsidRDefault="00BD1A2E" w:rsidP="00BD1A2E">
      <w:pPr>
        <w:pStyle w:val="Paragraphedeliste"/>
        <w:numPr>
          <w:ilvl w:val="0"/>
          <w:numId w:val="9"/>
        </w:numPr>
        <w:jc w:val="both"/>
      </w:pPr>
      <w:r>
        <w:rPr>
          <w:b/>
          <w:i/>
        </w:rPr>
        <w:t xml:space="preserve">Description du territoire </w:t>
      </w:r>
      <w:r>
        <w:t>concerné sur base d’un plan, surface totale, …</w:t>
      </w:r>
    </w:p>
    <w:p w14:paraId="0A2D6A76" w14:textId="77777777" w:rsidR="00BD1A2E" w:rsidRDefault="00BD1A2E" w:rsidP="00BD1A2E">
      <w:pPr>
        <w:pStyle w:val="Paragraphedeliste"/>
        <w:numPr>
          <w:ilvl w:val="0"/>
          <w:numId w:val="9"/>
        </w:numPr>
        <w:jc w:val="both"/>
      </w:pPr>
      <w:r w:rsidRPr="00A13802">
        <w:rPr>
          <w:b/>
          <w:i/>
        </w:rPr>
        <w:t>Exposé de l’action</w:t>
      </w:r>
      <w:r>
        <w:t xml:space="preserve"> déjà conduite et en cours de réalisation, susceptible de retenir l’intérêt du jury. Description retraçant l’historique des actions menées en détaillant les opérations et précisant les résultats attendus et/ou obtenus. Les actions encore prévues pour le futur peuvent également être décrites.</w:t>
      </w:r>
    </w:p>
    <w:p w14:paraId="0B59EC10" w14:textId="58B73B0B" w:rsidR="00BD1A2E" w:rsidRDefault="00BD1A2E" w:rsidP="00BD1A2E">
      <w:pPr>
        <w:jc w:val="both"/>
      </w:pPr>
      <w:r>
        <w:t>En complément, des photos peuvent accompagner le dossier pour illustrer les propos. Un canevas type est disponible.</w:t>
      </w:r>
    </w:p>
    <w:p w14:paraId="0860F0B6" w14:textId="77777777" w:rsidR="003911AF" w:rsidRDefault="003911AF" w:rsidP="00BD1A2E">
      <w:pPr>
        <w:jc w:val="both"/>
      </w:pPr>
    </w:p>
    <w:p w14:paraId="718324EF" w14:textId="068FA332" w:rsidR="00FE06D9" w:rsidRPr="00FE06D9" w:rsidRDefault="00FE06D9" w:rsidP="00FE06D9">
      <w:pPr>
        <w:pStyle w:val="NormalWeb"/>
        <w:pBdr>
          <w:bottom w:val="single" w:sz="4" w:space="1" w:color="70AD47" w:themeColor="accent6"/>
        </w:pBdr>
        <w:spacing w:before="0" w:beforeAutospacing="0" w:after="0" w:afterAutospacing="0"/>
        <w:rPr>
          <w:rFonts w:asciiTheme="minorHAnsi" w:eastAsia="OpenSymbol" w:hAnsiTheme="minorHAnsi" w:cstheme="minorHAnsi"/>
          <w:b/>
          <w:color w:val="70AD47" w:themeColor="accent6"/>
          <w:kern w:val="24"/>
          <w:sz w:val="22"/>
          <w:szCs w:val="22"/>
        </w:rPr>
      </w:pPr>
      <w:r>
        <w:rPr>
          <w:rFonts w:asciiTheme="minorHAnsi" w:eastAsia="OpenSymbol" w:hAnsiTheme="minorHAnsi" w:cstheme="minorHAnsi"/>
          <w:b/>
          <w:color w:val="70AD47" w:themeColor="accent6"/>
          <w:kern w:val="24"/>
          <w:sz w:val="22"/>
          <w:szCs w:val="22"/>
        </w:rPr>
        <w:t>5</w:t>
      </w:r>
      <w:r>
        <w:rPr>
          <w:rFonts w:asciiTheme="minorHAnsi" w:eastAsia="OpenSymbol" w:hAnsiTheme="minorHAnsi" w:cstheme="minorHAnsi"/>
          <w:b/>
          <w:color w:val="70AD47" w:themeColor="accent6"/>
          <w:kern w:val="24"/>
          <w:sz w:val="22"/>
          <w:szCs w:val="22"/>
        </w:rPr>
        <w:tab/>
      </w:r>
      <w:r w:rsidR="00546158" w:rsidRPr="00FE06D9">
        <w:rPr>
          <w:rFonts w:asciiTheme="minorHAnsi" w:eastAsia="OpenSymbol" w:hAnsiTheme="minorHAnsi" w:cstheme="minorHAnsi"/>
          <w:b/>
          <w:color w:val="70AD47" w:themeColor="accent6"/>
          <w:kern w:val="24"/>
          <w:sz w:val="22"/>
          <w:szCs w:val="22"/>
        </w:rPr>
        <w:t>CRITÈRES DE SÉLECTION DU PROJET</w:t>
      </w:r>
    </w:p>
    <w:p w14:paraId="738F5AA8" w14:textId="08ED8C3E" w:rsidR="00782444" w:rsidRDefault="00782444" w:rsidP="00782444">
      <w:pPr>
        <w:spacing w:before="240"/>
        <w:jc w:val="both"/>
      </w:pPr>
      <w:r>
        <w:t>Une attention particulière sera portée pour montrer le caractère exemplaire et duplicable de l’initiative, ses résultats et son caractère innovant.</w:t>
      </w:r>
    </w:p>
    <w:p w14:paraId="5D95D498" w14:textId="77777777" w:rsidR="00782444" w:rsidRDefault="00782444" w:rsidP="00782444">
      <w:pPr>
        <w:jc w:val="both"/>
      </w:pPr>
      <w:r>
        <w:t xml:space="preserve">Le jury pourra faire intervenir les critères suivants : </w:t>
      </w:r>
    </w:p>
    <w:p w14:paraId="5809A4E8" w14:textId="77777777" w:rsidR="00782444" w:rsidRDefault="00782444" w:rsidP="00782444">
      <w:pPr>
        <w:pStyle w:val="Paragraphedeliste"/>
        <w:numPr>
          <w:ilvl w:val="0"/>
          <w:numId w:val="9"/>
        </w:numPr>
        <w:jc w:val="both"/>
      </w:pPr>
      <w:r w:rsidRPr="00A87D7D">
        <w:rPr>
          <w:b/>
          <w:bCs/>
        </w:rPr>
        <w:t>Aménagement du territoire</w:t>
      </w:r>
      <w:r>
        <w:t> : mise en place de MAEC (mesures agro-environnementales), plantation de haies, îlots arbustifs, creusement de mares, redécoupage du parcellaire, …</w:t>
      </w:r>
    </w:p>
    <w:p w14:paraId="05084262" w14:textId="77777777" w:rsidR="00782444" w:rsidRDefault="00782444" w:rsidP="00782444">
      <w:pPr>
        <w:pStyle w:val="Paragraphedeliste"/>
        <w:numPr>
          <w:ilvl w:val="0"/>
          <w:numId w:val="9"/>
        </w:numPr>
        <w:jc w:val="both"/>
      </w:pPr>
      <w:r w:rsidRPr="00A87D7D">
        <w:rPr>
          <w:b/>
          <w:bCs/>
        </w:rPr>
        <w:t>Diversité des acteurs et fonciers concernés</w:t>
      </w:r>
      <w:r>
        <w:t> : agriculteurs, citoyens, terrains communaux, bosquets, …</w:t>
      </w:r>
    </w:p>
    <w:p w14:paraId="28E764DF" w14:textId="2107D2AC" w:rsidR="00782444" w:rsidRPr="00A87D7D" w:rsidRDefault="00782444" w:rsidP="00782444">
      <w:pPr>
        <w:pStyle w:val="Paragraphedeliste"/>
        <w:numPr>
          <w:ilvl w:val="0"/>
          <w:numId w:val="9"/>
        </w:numPr>
        <w:jc w:val="both"/>
        <w:rPr>
          <w:b/>
          <w:bCs/>
        </w:rPr>
      </w:pPr>
      <w:r w:rsidRPr="00A87D7D">
        <w:rPr>
          <w:b/>
          <w:bCs/>
        </w:rPr>
        <w:t>Le nombre et la proportion d’aménagements sur l’ensemble du territoire</w:t>
      </w:r>
    </w:p>
    <w:p w14:paraId="50158C7D" w14:textId="6B119FD4" w:rsidR="00782444" w:rsidRDefault="00782444" w:rsidP="00782444">
      <w:pPr>
        <w:pStyle w:val="Paragraphedeliste"/>
        <w:numPr>
          <w:ilvl w:val="0"/>
          <w:numId w:val="9"/>
        </w:numPr>
        <w:jc w:val="both"/>
      </w:pPr>
      <w:r>
        <w:t xml:space="preserve">Toute contribution pratique à </w:t>
      </w:r>
      <w:r w:rsidRPr="00A87D7D">
        <w:rPr>
          <w:b/>
          <w:bCs/>
        </w:rPr>
        <w:t>la gestion de la faune sauvage et au développement d’une chasse durable</w:t>
      </w:r>
      <w:r>
        <w:t> ;</w:t>
      </w:r>
    </w:p>
    <w:p w14:paraId="65BB6A34" w14:textId="7E22426E" w:rsidR="00782444" w:rsidRDefault="00782444" w:rsidP="00782444">
      <w:pPr>
        <w:pStyle w:val="Paragraphedeliste"/>
        <w:numPr>
          <w:ilvl w:val="0"/>
          <w:numId w:val="9"/>
        </w:numPr>
        <w:jc w:val="both"/>
      </w:pPr>
      <w:r w:rsidRPr="00A87D7D">
        <w:rPr>
          <w:b/>
          <w:bCs/>
        </w:rPr>
        <w:t>Qualité de la présentation</w:t>
      </w:r>
      <w:r>
        <w:t xml:space="preserve"> du dossier de candidature.</w:t>
      </w:r>
    </w:p>
    <w:p w14:paraId="61E64214" w14:textId="6EC22384" w:rsidR="00782444" w:rsidRDefault="00782444" w:rsidP="00782444">
      <w:pPr>
        <w:jc w:val="both"/>
      </w:pPr>
      <w:r w:rsidRPr="00D50862">
        <w:t xml:space="preserve">Le </w:t>
      </w:r>
      <w:r w:rsidRPr="00A87D7D">
        <w:rPr>
          <w:b/>
          <w:bCs/>
          <w:i/>
          <w:color w:val="70AD47" w:themeColor="accent6"/>
        </w:rPr>
        <w:t>Grand prix du Chasseur Aménageur</w:t>
      </w:r>
      <w:r w:rsidRPr="00A87D7D">
        <w:rPr>
          <w:color w:val="70AD47" w:themeColor="accent6"/>
        </w:rPr>
        <w:t> </w:t>
      </w:r>
      <w:r>
        <w:t xml:space="preserve">visera particulièrement à mettre en valeur des projets d’aménagements de territoire et de développement d’espèces de la faune sauvage porté par un chasseur impliqué avec les différents acteurs du monde rural (agriculteurs, forestiers, communes, …). </w:t>
      </w:r>
    </w:p>
    <w:p w14:paraId="5981D666" w14:textId="1BBE1675" w:rsidR="00782444" w:rsidRDefault="00782444" w:rsidP="00782444">
      <w:pPr>
        <w:jc w:val="both"/>
      </w:pPr>
      <w:r>
        <w:t xml:space="preserve">Le </w:t>
      </w:r>
      <w:r w:rsidR="00C5664E">
        <w:rPr>
          <w:b/>
          <w:bCs/>
          <w:i/>
          <w:iCs/>
          <w:color w:val="70AD47" w:themeColor="accent6"/>
        </w:rPr>
        <w:t>p</w:t>
      </w:r>
      <w:r w:rsidR="00D139D9" w:rsidRPr="00D139D9">
        <w:rPr>
          <w:b/>
          <w:bCs/>
          <w:i/>
          <w:iCs/>
          <w:color w:val="70AD47" w:themeColor="accent6"/>
        </w:rPr>
        <w:t xml:space="preserve">rix du </w:t>
      </w:r>
      <w:r w:rsidRPr="00D139D9">
        <w:rPr>
          <w:b/>
          <w:bCs/>
          <w:i/>
          <w:iCs/>
          <w:color w:val="70AD47" w:themeColor="accent6"/>
        </w:rPr>
        <w:t>Chasseur Aménageur innovant</w:t>
      </w:r>
      <w:r w:rsidRPr="00D139D9">
        <w:rPr>
          <w:i/>
          <w:color w:val="70AD47" w:themeColor="accent6"/>
        </w:rPr>
        <w:t xml:space="preserve"> </w:t>
      </w:r>
      <w:r>
        <w:t>: ce prix vise à mettre en avant une initiative innovante portant sur la gestion et/ou l’aménagement du territoire. Il sera attribué ou non en fonction du type et de la qualité des dossiers présentés.</w:t>
      </w:r>
    </w:p>
    <w:p w14:paraId="650AFECA" w14:textId="4CB0EB1D" w:rsidR="00782444" w:rsidRDefault="00782444" w:rsidP="00782444">
      <w:pPr>
        <w:jc w:val="both"/>
      </w:pPr>
      <w:r>
        <w:lastRenderedPageBreak/>
        <w:t xml:space="preserve">Le </w:t>
      </w:r>
      <w:r w:rsidRPr="00C5664E">
        <w:rPr>
          <w:b/>
          <w:bCs/>
          <w:i/>
          <w:color w:val="70AD47" w:themeColor="accent6"/>
        </w:rPr>
        <w:t>prix du jeune Chasseur Aménageur</w:t>
      </w:r>
      <w:r w:rsidRPr="00C5664E">
        <w:rPr>
          <w:color w:val="70AD47" w:themeColor="accent6"/>
        </w:rPr>
        <w:t xml:space="preserve"> </w:t>
      </w:r>
      <w:r>
        <w:t>sera donné à un chasseur de moins de 35 ans, en fonction d’un objectif identique à celui du grand prix du chasseur aménageur.</w:t>
      </w:r>
    </w:p>
    <w:p w14:paraId="3A389665" w14:textId="77777777" w:rsidR="00405873" w:rsidRDefault="00405873" w:rsidP="00782444">
      <w:pPr>
        <w:jc w:val="both"/>
      </w:pPr>
    </w:p>
    <w:p w14:paraId="513C6349" w14:textId="670EAF5D" w:rsidR="00405873" w:rsidRPr="00233AA4" w:rsidRDefault="00405873" w:rsidP="00405873">
      <w:pPr>
        <w:pStyle w:val="NormalWeb"/>
        <w:pBdr>
          <w:bottom w:val="single" w:sz="4" w:space="1" w:color="70AD47" w:themeColor="accent6"/>
        </w:pBdr>
        <w:spacing w:before="0" w:beforeAutospacing="0" w:after="0" w:afterAutospacing="0"/>
        <w:rPr>
          <w:rFonts w:asciiTheme="minorHAnsi" w:eastAsia="OpenSymbol" w:hAnsiTheme="minorHAnsi" w:cstheme="minorHAnsi"/>
          <w:b/>
          <w:color w:val="70AD47" w:themeColor="accent6"/>
          <w:kern w:val="24"/>
          <w:sz w:val="22"/>
          <w:szCs w:val="22"/>
        </w:rPr>
      </w:pPr>
      <w:r w:rsidRPr="00233AA4">
        <w:rPr>
          <w:rFonts w:asciiTheme="minorHAnsi" w:eastAsia="OpenSymbol" w:hAnsiTheme="minorHAnsi" w:cstheme="minorHAnsi"/>
          <w:b/>
          <w:color w:val="70AD47" w:themeColor="accent6"/>
          <w:kern w:val="24"/>
          <w:sz w:val="22"/>
          <w:szCs w:val="22"/>
        </w:rPr>
        <w:t>6</w:t>
      </w:r>
      <w:r w:rsidRPr="00233AA4">
        <w:rPr>
          <w:rFonts w:asciiTheme="minorHAnsi" w:eastAsia="OpenSymbol" w:hAnsiTheme="minorHAnsi" w:cstheme="minorHAnsi"/>
          <w:b/>
          <w:color w:val="70AD47" w:themeColor="accent6"/>
          <w:kern w:val="24"/>
          <w:sz w:val="22"/>
          <w:szCs w:val="22"/>
        </w:rPr>
        <w:tab/>
        <w:t>CALENDRIER</w:t>
      </w:r>
    </w:p>
    <w:p w14:paraId="0870D34A" w14:textId="77777777" w:rsidR="007475F4" w:rsidRDefault="007475F4" w:rsidP="007475F4">
      <w:pPr>
        <w:rPr>
          <w:sz w:val="20"/>
          <w:szCs w:val="20"/>
        </w:rPr>
      </w:pPr>
    </w:p>
    <w:p w14:paraId="03B2A6A2" w14:textId="0A800240" w:rsidR="007475F4" w:rsidRPr="003A01A6" w:rsidRDefault="007475F4" w:rsidP="007475F4">
      <w:pPr>
        <w:spacing w:before="240"/>
        <w:jc w:val="both"/>
      </w:pPr>
      <w:r>
        <w:t xml:space="preserve">La date limite d’inscription est fixée au </w:t>
      </w:r>
      <w:r w:rsidRPr="008C339B">
        <w:rPr>
          <w:b/>
          <w:bCs/>
        </w:rPr>
        <w:t xml:space="preserve">dimanche </w:t>
      </w:r>
      <w:r w:rsidR="00E17AAF">
        <w:rPr>
          <w:b/>
          <w:bCs/>
        </w:rPr>
        <w:t>18 mai 2025</w:t>
      </w:r>
      <w:r w:rsidRPr="008C339B">
        <w:rPr>
          <w:b/>
          <w:bCs/>
        </w:rPr>
        <w:t xml:space="preserve"> à minuit</w:t>
      </w:r>
      <w:r>
        <w:t>.</w:t>
      </w:r>
    </w:p>
    <w:p w14:paraId="5203E005" w14:textId="77777777" w:rsidR="007475F4" w:rsidRDefault="007475F4" w:rsidP="007475F4">
      <w:pPr>
        <w:rPr>
          <w:sz w:val="20"/>
          <w:szCs w:val="20"/>
        </w:rPr>
      </w:pPr>
    </w:p>
    <w:p w14:paraId="546E3CC1" w14:textId="77777777" w:rsidR="007475F4" w:rsidRDefault="007475F4" w:rsidP="007475F4">
      <w:pPr>
        <w:rPr>
          <w:sz w:val="20"/>
          <w:szCs w:val="20"/>
        </w:rPr>
      </w:pPr>
    </w:p>
    <w:p w14:paraId="49526505" w14:textId="78FA4E8C" w:rsidR="007475F4" w:rsidRDefault="007475F4" w:rsidP="007475F4">
      <w:pPr>
        <w:rPr>
          <w:sz w:val="20"/>
          <w:szCs w:val="20"/>
        </w:rPr>
      </w:pPr>
    </w:p>
    <w:p w14:paraId="35A459FB" w14:textId="7D1CB53E" w:rsidR="007475F4" w:rsidRDefault="007475F4" w:rsidP="007475F4">
      <w:pPr>
        <w:rPr>
          <w:sz w:val="20"/>
          <w:szCs w:val="20"/>
        </w:rPr>
      </w:pPr>
    </w:p>
    <w:p w14:paraId="5161FB2A" w14:textId="77777777" w:rsidR="007475F4" w:rsidRDefault="007475F4" w:rsidP="007475F4">
      <w:pPr>
        <w:rPr>
          <w:sz w:val="20"/>
          <w:szCs w:val="20"/>
        </w:rPr>
      </w:pPr>
    </w:p>
    <w:p w14:paraId="3A652A16" w14:textId="77777777" w:rsidR="007475F4" w:rsidRDefault="007475F4" w:rsidP="007475F4">
      <w:pPr>
        <w:rPr>
          <w:sz w:val="20"/>
          <w:szCs w:val="20"/>
        </w:rPr>
      </w:pPr>
    </w:p>
    <w:p w14:paraId="60FC66EE" w14:textId="77777777" w:rsidR="00CB6BD8" w:rsidRDefault="007475F4" w:rsidP="007475F4">
      <w:pPr>
        <w:rPr>
          <w:sz w:val="20"/>
          <w:szCs w:val="20"/>
        </w:rPr>
      </w:pPr>
      <w:r w:rsidRPr="002F3B0B">
        <w:rPr>
          <w:sz w:val="20"/>
          <w:szCs w:val="20"/>
        </w:rPr>
        <w:t>Avec le soutien de nos partenaires :</w:t>
      </w:r>
    </w:p>
    <w:p w14:paraId="43C137D4" w14:textId="080C754B" w:rsidR="007854DD" w:rsidRPr="00CB6BD8" w:rsidRDefault="00EA5F3D" w:rsidP="007475F4">
      <w:pPr>
        <w:rPr>
          <w:sz w:val="20"/>
          <w:szCs w:val="20"/>
        </w:rPr>
      </w:pPr>
      <w:r w:rsidRPr="0004453E">
        <w:rPr>
          <w:noProof/>
          <w:highlight w:val="yellow"/>
        </w:rPr>
        <w:drawing>
          <wp:anchor distT="0" distB="0" distL="114300" distR="114300" simplePos="0" relativeHeight="251658240" behindDoc="1" locked="0" layoutInCell="1" allowOverlap="1" wp14:anchorId="42599252" wp14:editId="62912A1D">
            <wp:simplePos x="0" y="0"/>
            <wp:positionH relativeFrom="margin">
              <wp:posOffset>127363</wp:posOffset>
            </wp:positionH>
            <wp:positionV relativeFrom="paragraph">
              <wp:posOffset>3100070</wp:posOffset>
            </wp:positionV>
            <wp:extent cx="6032500" cy="605790"/>
            <wp:effectExtent l="0" t="0" r="635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0" cy="605790"/>
                    </a:xfrm>
                    <a:prstGeom prst="rect">
                      <a:avLst/>
                    </a:prstGeom>
                    <a:noFill/>
                    <a:ln>
                      <a:noFill/>
                    </a:ln>
                  </pic:spPr>
                </pic:pic>
              </a:graphicData>
            </a:graphic>
          </wp:anchor>
        </w:drawing>
      </w:r>
    </w:p>
    <w:p w14:paraId="6CA67BB7" w14:textId="1D908AC8" w:rsidR="00CB6BD8" w:rsidRPr="007475F4" w:rsidRDefault="00CB6BD8" w:rsidP="007475F4">
      <w:pPr>
        <w:rPr>
          <w:rFonts w:cstheme="minorHAnsi"/>
          <w:b/>
          <w:bCs/>
          <w:color w:val="595959" w:themeColor="text1" w:themeTint="A6"/>
          <w:sz w:val="36"/>
          <w:szCs w:val="36"/>
        </w:rPr>
      </w:pPr>
      <w:r>
        <w:object w:dxaOrig="10093" w:dyaOrig="1168" w14:anchorId="06653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58.5pt" o:ole="">
            <v:imagedata r:id="rId13" o:title=""/>
          </v:shape>
          <o:OLEObject Type="Embed" ProgID="Unknown" ShapeID="_x0000_i1025" DrawAspect="Content" ObjectID="_1805018887" r:id="rId14"/>
        </w:object>
      </w:r>
    </w:p>
    <w:sectPr w:rsidR="00CB6BD8" w:rsidRPr="007475F4" w:rsidSect="0042241A">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882DD" w14:textId="77777777" w:rsidR="00AB5280" w:rsidRDefault="00AB5280" w:rsidP="00965C74">
      <w:pPr>
        <w:spacing w:after="0" w:line="240" w:lineRule="auto"/>
      </w:pPr>
      <w:r>
        <w:separator/>
      </w:r>
    </w:p>
  </w:endnote>
  <w:endnote w:type="continuationSeparator" w:id="0">
    <w:p w14:paraId="0FA147D1" w14:textId="77777777" w:rsidR="00AB5280" w:rsidRDefault="00AB5280" w:rsidP="00965C74">
      <w:pPr>
        <w:spacing w:after="0" w:line="240" w:lineRule="auto"/>
      </w:pPr>
      <w:r>
        <w:continuationSeparator/>
      </w:r>
    </w:p>
  </w:endnote>
  <w:endnote w:type="continuationNotice" w:id="1">
    <w:p w14:paraId="5550B528" w14:textId="77777777" w:rsidR="00AB5280" w:rsidRDefault="00AB52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4065F" w14:textId="77777777" w:rsidR="0004453E" w:rsidRDefault="000445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EDB7D" w14:textId="797A275D" w:rsidR="00965C74" w:rsidRDefault="00965C74" w:rsidP="00762D8F">
    <w:pPr>
      <w:pStyle w:val="Pieddepage"/>
      <w:tabs>
        <w:tab w:val="clear" w:pos="4536"/>
        <w:tab w:val="left" w:pos="907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068F" w14:textId="77777777" w:rsidR="0004453E" w:rsidRDefault="000445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2B3A5" w14:textId="77777777" w:rsidR="00AB5280" w:rsidRDefault="00AB5280" w:rsidP="00965C74">
      <w:pPr>
        <w:spacing w:after="0" w:line="240" w:lineRule="auto"/>
      </w:pPr>
      <w:r>
        <w:separator/>
      </w:r>
    </w:p>
  </w:footnote>
  <w:footnote w:type="continuationSeparator" w:id="0">
    <w:p w14:paraId="6248F23D" w14:textId="77777777" w:rsidR="00AB5280" w:rsidRDefault="00AB5280" w:rsidP="00965C74">
      <w:pPr>
        <w:spacing w:after="0" w:line="240" w:lineRule="auto"/>
      </w:pPr>
      <w:r>
        <w:continuationSeparator/>
      </w:r>
    </w:p>
  </w:footnote>
  <w:footnote w:type="continuationNotice" w:id="1">
    <w:p w14:paraId="4D2EF152" w14:textId="77777777" w:rsidR="00AB5280" w:rsidRDefault="00AB52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96D4E" w14:textId="77777777" w:rsidR="0004453E" w:rsidRDefault="000445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7E7AD" w14:textId="5E277EC5" w:rsidR="0004453E" w:rsidRDefault="000445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67E0" w14:textId="77777777" w:rsidR="0004453E" w:rsidRDefault="000445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D7F0F"/>
    <w:multiLevelType w:val="hybridMultilevel"/>
    <w:tmpl w:val="E2B0076A"/>
    <w:lvl w:ilvl="0" w:tplc="0736089E">
      <w:start w:val="1"/>
      <w:numFmt w:val="decimal"/>
      <w:lvlText w:val="%1"/>
      <w:lvlJc w:val="left"/>
      <w:pPr>
        <w:ind w:left="720" w:hanging="360"/>
      </w:pPr>
      <w:rPr>
        <w:rFonts w:eastAsia="Open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D9E7C86"/>
    <w:multiLevelType w:val="hybridMultilevel"/>
    <w:tmpl w:val="CE9A616C"/>
    <w:lvl w:ilvl="0" w:tplc="080C0001">
      <w:start w:val="1"/>
      <w:numFmt w:val="bullet"/>
      <w:lvlText w:val=""/>
      <w:lvlJc w:val="left"/>
      <w:pPr>
        <w:ind w:left="1848" w:hanging="360"/>
      </w:pPr>
      <w:rPr>
        <w:rFonts w:ascii="Symbol" w:hAnsi="Symbol" w:hint="default"/>
      </w:rPr>
    </w:lvl>
    <w:lvl w:ilvl="1" w:tplc="080C0003">
      <w:start w:val="1"/>
      <w:numFmt w:val="bullet"/>
      <w:lvlText w:val="o"/>
      <w:lvlJc w:val="left"/>
      <w:pPr>
        <w:ind w:left="2568" w:hanging="360"/>
      </w:pPr>
      <w:rPr>
        <w:rFonts w:ascii="Courier New" w:hAnsi="Courier New" w:cs="Courier New" w:hint="default"/>
      </w:rPr>
    </w:lvl>
    <w:lvl w:ilvl="2" w:tplc="080C0005">
      <w:start w:val="1"/>
      <w:numFmt w:val="bullet"/>
      <w:lvlText w:val=""/>
      <w:lvlJc w:val="left"/>
      <w:pPr>
        <w:ind w:left="3288" w:hanging="360"/>
      </w:pPr>
      <w:rPr>
        <w:rFonts w:ascii="Wingdings" w:hAnsi="Wingdings" w:hint="default"/>
      </w:rPr>
    </w:lvl>
    <w:lvl w:ilvl="3" w:tplc="080C0001">
      <w:start w:val="1"/>
      <w:numFmt w:val="bullet"/>
      <w:lvlText w:val=""/>
      <w:lvlJc w:val="left"/>
      <w:pPr>
        <w:ind w:left="4008" w:hanging="360"/>
      </w:pPr>
      <w:rPr>
        <w:rFonts w:ascii="Symbol" w:hAnsi="Symbol" w:hint="default"/>
      </w:rPr>
    </w:lvl>
    <w:lvl w:ilvl="4" w:tplc="080C0003">
      <w:start w:val="1"/>
      <w:numFmt w:val="bullet"/>
      <w:lvlText w:val="o"/>
      <w:lvlJc w:val="left"/>
      <w:pPr>
        <w:ind w:left="4728" w:hanging="360"/>
      </w:pPr>
      <w:rPr>
        <w:rFonts w:ascii="Courier New" w:hAnsi="Courier New" w:cs="Courier New" w:hint="default"/>
      </w:rPr>
    </w:lvl>
    <w:lvl w:ilvl="5" w:tplc="080C0005">
      <w:start w:val="1"/>
      <w:numFmt w:val="bullet"/>
      <w:lvlText w:val=""/>
      <w:lvlJc w:val="left"/>
      <w:pPr>
        <w:ind w:left="5448" w:hanging="360"/>
      </w:pPr>
      <w:rPr>
        <w:rFonts w:ascii="Wingdings" w:hAnsi="Wingdings" w:hint="default"/>
      </w:rPr>
    </w:lvl>
    <w:lvl w:ilvl="6" w:tplc="080C0001">
      <w:start w:val="1"/>
      <w:numFmt w:val="bullet"/>
      <w:lvlText w:val=""/>
      <w:lvlJc w:val="left"/>
      <w:pPr>
        <w:ind w:left="6168" w:hanging="360"/>
      </w:pPr>
      <w:rPr>
        <w:rFonts w:ascii="Symbol" w:hAnsi="Symbol" w:hint="default"/>
      </w:rPr>
    </w:lvl>
    <w:lvl w:ilvl="7" w:tplc="080C0003">
      <w:start w:val="1"/>
      <w:numFmt w:val="bullet"/>
      <w:lvlText w:val="o"/>
      <w:lvlJc w:val="left"/>
      <w:pPr>
        <w:ind w:left="6888" w:hanging="360"/>
      </w:pPr>
      <w:rPr>
        <w:rFonts w:ascii="Courier New" w:hAnsi="Courier New" w:cs="Courier New" w:hint="default"/>
      </w:rPr>
    </w:lvl>
    <w:lvl w:ilvl="8" w:tplc="080C0005">
      <w:start w:val="1"/>
      <w:numFmt w:val="bullet"/>
      <w:lvlText w:val=""/>
      <w:lvlJc w:val="left"/>
      <w:pPr>
        <w:ind w:left="7608" w:hanging="360"/>
      </w:pPr>
      <w:rPr>
        <w:rFonts w:ascii="Wingdings" w:hAnsi="Wingdings" w:hint="default"/>
      </w:rPr>
    </w:lvl>
  </w:abstractNum>
  <w:abstractNum w:abstractNumId="2" w15:restartNumberingAfterBreak="0">
    <w:nsid w:val="27AA61ED"/>
    <w:multiLevelType w:val="hybridMultilevel"/>
    <w:tmpl w:val="02864626"/>
    <w:lvl w:ilvl="0" w:tplc="9B6E65A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5D5DD8"/>
    <w:multiLevelType w:val="hybridMultilevel"/>
    <w:tmpl w:val="60701CE2"/>
    <w:lvl w:ilvl="0" w:tplc="BF582BF2">
      <w:start w:val="1"/>
      <w:numFmt w:val="decimal"/>
      <w:lvlText w:val="%1."/>
      <w:lvlJc w:val="left"/>
      <w:pPr>
        <w:ind w:left="720" w:hanging="360"/>
      </w:pPr>
      <w:rPr>
        <w:rFonts w:eastAsia="OpenSymbol" w:hint="default"/>
        <w:color w:val="83810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98760CA"/>
    <w:multiLevelType w:val="hybridMultilevel"/>
    <w:tmpl w:val="E2B0076A"/>
    <w:lvl w:ilvl="0" w:tplc="0736089E">
      <w:start w:val="1"/>
      <w:numFmt w:val="decimal"/>
      <w:lvlText w:val="%1"/>
      <w:lvlJc w:val="left"/>
      <w:pPr>
        <w:ind w:left="720" w:hanging="360"/>
      </w:pPr>
      <w:rPr>
        <w:rFonts w:eastAsia="Open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0723797"/>
    <w:multiLevelType w:val="hybridMultilevel"/>
    <w:tmpl w:val="D33642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76A1E97"/>
    <w:multiLevelType w:val="hybridMultilevel"/>
    <w:tmpl w:val="7494C82C"/>
    <w:lvl w:ilvl="0" w:tplc="ED325378">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A9535D4"/>
    <w:multiLevelType w:val="hybridMultilevel"/>
    <w:tmpl w:val="AE601E76"/>
    <w:lvl w:ilvl="0" w:tplc="3E3E6538">
      <w:numFmt w:val="bullet"/>
      <w:lvlText w:val="-"/>
      <w:lvlJc w:val="left"/>
      <w:pPr>
        <w:ind w:left="720" w:hanging="360"/>
      </w:pPr>
      <w:rPr>
        <w:rFonts w:ascii="Cambria" w:eastAsia="OpenSymbol" w:hAnsi="Cambria" w:cs="+mn-cs" w:hint="default"/>
        <w:color w:val="83810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C844704"/>
    <w:multiLevelType w:val="hybridMultilevel"/>
    <w:tmpl w:val="2E7CAB5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7B942663"/>
    <w:multiLevelType w:val="hybridMultilevel"/>
    <w:tmpl w:val="E2B0076A"/>
    <w:lvl w:ilvl="0" w:tplc="0736089E">
      <w:start w:val="1"/>
      <w:numFmt w:val="decimal"/>
      <w:lvlText w:val="%1"/>
      <w:lvlJc w:val="left"/>
      <w:pPr>
        <w:ind w:left="720" w:hanging="360"/>
      </w:pPr>
      <w:rPr>
        <w:rFonts w:eastAsia="Open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840959">
    <w:abstractNumId w:val="7"/>
  </w:num>
  <w:num w:numId="2" w16cid:durableId="394280451">
    <w:abstractNumId w:val="8"/>
  </w:num>
  <w:num w:numId="3" w16cid:durableId="344014406">
    <w:abstractNumId w:val="3"/>
  </w:num>
  <w:num w:numId="4" w16cid:durableId="852382256">
    <w:abstractNumId w:val="4"/>
  </w:num>
  <w:num w:numId="5" w16cid:durableId="1059941353">
    <w:abstractNumId w:val="0"/>
  </w:num>
  <w:num w:numId="6" w16cid:durableId="510098036">
    <w:abstractNumId w:val="1"/>
  </w:num>
  <w:num w:numId="7" w16cid:durableId="1710909705">
    <w:abstractNumId w:val="9"/>
  </w:num>
  <w:num w:numId="8" w16cid:durableId="898630196">
    <w:abstractNumId w:val="5"/>
  </w:num>
  <w:num w:numId="9" w16cid:durableId="1244878222">
    <w:abstractNumId w:val="2"/>
  </w:num>
  <w:num w:numId="10" w16cid:durableId="2103604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E4"/>
    <w:rsid w:val="00006F4F"/>
    <w:rsid w:val="00030F7E"/>
    <w:rsid w:val="0004453E"/>
    <w:rsid w:val="00075002"/>
    <w:rsid w:val="000B2BB6"/>
    <w:rsid w:val="000D570E"/>
    <w:rsid w:val="0017568B"/>
    <w:rsid w:val="001A1A8C"/>
    <w:rsid w:val="001A5896"/>
    <w:rsid w:val="00217E19"/>
    <w:rsid w:val="00233AA4"/>
    <w:rsid w:val="00237905"/>
    <w:rsid w:val="00243EA5"/>
    <w:rsid w:val="00266AC3"/>
    <w:rsid w:val="00276631"/>
    <w:rsid w:val="002E327D"/>
    <w:rsid w:val="0031261B"/>
    <w:rsid w:val="00333A98"/>
    <w:rsid w:val="00335ABA"/>
    <w:rsid w:val="0036701C"/>
    <w:rsid w:val="003911AF"/>
    <w:rsid w:val="003A01A6"/>
    <w:rsid w:val="003B0943"/>
    <w:rsid w:val="003D6435"/>
    <w:rsid w:val="003F41FA"/>
    <w:rsid w:val="00405873"/>
    <w:rsid w:val="0042241A"/>
    <w:rsid w:val="004353D7"/>
    <w:rsid w:val="00450D68"/>
    <w:rsid w:val="0048241A"/>
    <w:rsid w:val="00482EA8"/>
    <w:rsid w:val="00520F1D"/>
    <w:rsid w:val="0052151A"/>
    <w:rsid w:val="00546158"/>
    <w:rsid w:val="0055518C"/>
    <w:rsid w:val="00587C6A"/>
    <w:rsid w:val="00590916"/>
    <w:rsid w:val="005A3E04"/>
    <w:rsid w:val="005B6D26"/>
    <w:rsid w:val="005C24E3"/>
    <w:rsid w:val="005D4F55"/>
    <w:rsid w:val="0061227F"/>
    <w:rsid w:val="006141BD"/>
    <w:rsid w:val="00621DD7"/>
    <w:rsid w:val="0062763E"/>
    <w:rsid w:val="00647591"/>
    <w:rsid w:val="00673033"/>
    <w:rsid w:val="00691394"/>
    <w:rsid w:val="006A3701"/>
    <w:rsid w:val="006C6A0D"/>
    <w:rsid w:val="00715007"/>
    <w:rsid w:val="00725D67"/>
    <w:rsid w:val="00741D3B"/>
    <w:rsid w:val="00743392"/>
    <w:rsid w:val="007475F4"/>
    <w:rsid w:val="00762D8F"/>
    <w:rsid w:val="00765936"/>
    <w:rsid w:val="00782444"/>
    <w:rsid w:val="007854DD"/>
    <w:rsid w:val="007C4EB3"/>
    <w:rsid w:val="00822E24"/>
    <w:rsid w:val="008600B9"/>
    <w:rsid w:val="00894385"/>
    <w:rsid w:val="008C339B"/>
    <w:rsid w:val="00930B5D"/>
    <w:rsid w:val="0094532C"/>
    <w:rsid w:val="00952497"/>
    <w:rsid w:val="00965C74"/>
    <w:rsid w:val="0099192C"/>
    <w:rsid w:val="009D63E9"/>
    <w:rsid w:val="00A51333"/>
    <w:rsid w:val="00A75758"/>
    <w:rsid w:val="00A75D23"/>
    <w:rsid w:val="00A811D1"/>
    <w:rsid w:val="00A82595"/>
    <w:rsid w:val="00A87D7D"/>
    <w:rsid w:val="00A918BB"/>
    <w:rsid w:val="00A91B15"/>
    <w:rsid w:val="00AB5280"/>
    <w:rsid w:val="00AC4A80"/>
    <w:rsid w:val="00B15018"/>
    <w:rsid w:val="00B47CCA"/>
    <w:rsid w:val="00B61554"/>
    <w:rsid w:val="00BA5CD2"/>
    <w:rsid w:val="00BD1A2E"/>
    <w:rsid w:val="00BE2223"/>
    <w:rsid w:val="00BF49D2"/>
    <w:rsid w:val="00C0529C"/>
    <w:rsid w:val="00C07687"/>
    <w:rsid w:val="00C4041F"/>
    <w:rsid w:val="00C464F0"/>
    <w:rsid w:val="00C5664E"/>
    <w:rsid w:val="00CB257D"/>
    <w:rsid w:val="00CB2948"/>
    <w:rsid w:val="00CB6BD8"/>
    <w:rsid w:val="00CC4EF8"/>
    <w:rsid w:val="00D139D9"/>
    <w:rsid w:val="00D606BC"/>
    <w:rsid w:val="00D85EF8"/>
    <w:rsid w:val="00DC2B70"/>
    <w:rsid w:val="00DC72DB"/>
    <w:rsid w:val="00DD48E6"/>
    <w:rsid w:val="00DD5402"/>
    <w:rsid w:val="00DD75E8"/>
    <w:rsid w:val="00DE3659"/>
    <w:rsid w:val="00E066DB"/>
    <w:rsid w:val="00E072C0"/>
    <w:rsid w:val="00E17AAF"/>
    <w:rsid w:val="00E46DB9"/>
    <w:rsid w:val="00E76559"/>
    <w:rsid w:val="00EA5F3D"/>
    <w:rsid w:val="00EB29CF"/>
    <w:rsid w:val="00EE618C"/>
    <w:rsid w:val="00EF7F40"/>
    <w:rsid w:val="00F679E4"/>
    <w:rsid w:val="00F7207E"/>
    <w:rsid w:val="00F869E8"/>
    <w:rsid w:val="00FA05C2"/>
    <w:rsid w:val="00FA429D"/>
    <w:rsid w:val="00FC05B0"/>
    <w:rsid w:val="00FE06D9"/>
    <w:rsid w:val="00FE1AC1"/>
    <w:rsid w:val="00FE66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C735FD"/>
  <w15:chartTrackingRefBased/>
  <w15:docId w15:val="{6613869A-C678-422B-B880-95765AFE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87C6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5C24E3"/>
    <w:pPr>
      <w:ind w:left="720"/>
      <w:contextualSpacing/>
    </w:pPr>
  </w:style>
  <w:style w:type="paragraph" w:styleId="En-tte">
    <w:name w:val="header"/>
    <w:basedOn w:val="Normal"/>
    <w:link w:val="En-tteCar"/>
    <w:uiPriority w:val="99"/>
    <w:unhideWhenUsed/>
    <w:rsid w:val="00965C74"/>
    <w:pPr>
      <w:tabs>
        <w:tab w:val="center" w:pos="4536"/>
        <w:tab w:val="right" w:pos="9072"/>
      </w:tabs>
      <w:spacing w:after="0" w:line="240" w:lineRule="auto"/>
    </w:pPr>
  </w:style>
  <w:style w:type="character" w:customStyle="1" w:styleId="En-tteCar">
    <w:name w:val="En-tête Car"/>
    <w:basedOn w:val="Policepardfaut"/>
    <w:link w:val="En-tte"/>
    <w:uiPriority w:val="99"/>
    <w:rsid w:val="00965C74"/>
  </w:style>
  <w:style w:type="paragraph" w:styleId="Pieddepage">
    <w:name w:val="footer"/>
    <w:basedOn w:val="Normal"/>
    <w:link w:val="PieddepageCar"/>
    <w:uiPriority w:val="99"/>
    <w:unhideWhenUsed/>
    <w:rsid w:val="00965C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C74"/>
  </w:style>
  <w:style w:type="character" w:styleId="Lienhypertexte">
    <w:name w:val="Hyperlink"/>
    <w:basedOn w:val="Policepardfaut"/>
    <w:uiPriority w:val="99"/>
    <w:unhideWhenUsed/>
    <w:rsid w:val="0031261B"/>
    <w:rPr>
      <w:color w:val="0563C1" w:themeColor="hyperlink"/>
      <w:u w:val="single"/>
    </w:rPr>
  </w:style>
  <w:style w:type="character" w:styleId="Mentionnonrsolue">
    <w:name w:val="Unresolved Mention"/>
    <w:basedOn w:val="Policepardfaut"/>
    <w:uiPriority w:val="99"/>
    <w:semiHidden/>
    <w:unhideWhenUsed/>
    <w:rsid w:val="001A5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elalieux@faune-biotopes.b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E6D8F3974090478448F60A86C117AD" ma:contentTypeVersion="19" ma:contentTypeDescription="Crée un document." ma:contentTypeScope="" ma:versionID="9ca742081c9e0452e3dd3d523e37d7e3">
  <xsd:schema xmlns:xsd="http://www.w3.org/2001/XMLSchema" xmlns:xs="http://www.w3.org/2001/XMLSchema" xmlns:p="http://schemas.microsoft.com/office/2006/metadata/properties" xmlns:ns2="699ee767-d9d1-4c5c-9f78-275b37d4b4c1" xmlns:ns3="f07bbce7-b755-4276-b265-00613539e091" targetNamespace="http://schemas.microsoft.com/office/2006/metadata/properties" ma:root="true" ma:fieldsID="2793ec30b0c65f3427653f3f95578e40" ns2:_="" ns3:_="">
    <xsd:import namespace="699ee767-d9d1-4c5c-9f78-275b37d4b4c1"/>
    <xsd:import namespace="f07bbce7-b755-4276-b265-00613539e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ee767-d9d1-4c5c-9f78-275b37d4b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9b2b81-9b8c-432c-a79a-26a277e630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bbce7-b755-4276-b265-00613539e09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ee2dfaf-711e-4586-b6d3-6fbf4be09023}" ma:internalName="TaxCatchAll" ma:showField="CatchAllData" ma:web="f07bbce7-b755-4276-b265-00613539e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9ee767-d9d1-4c5c-9f78-275b37d4b4c1">
      <Terms xmlns="http://schemas.microsoft.com/office/infopath/2007/PartnerControls"/>
    </lcf76f155ced4ddcb4097134ff3c332f>
    <TaxCatchAll xmlns="f07bbce7-b755-4276-b265-00613539e091" xsi:nil="true"/>
  </documentManagement>
</p:properties>
</file>

<file path=customXml/itemProps1.xml><?xml version="1.0" encoding="utf-8"?>
<ds:datastoreItem xmlns:ds="http://schemas.openxmlformats.org/officeDocument/2006/customXml" ds:itemID="{0478662B-4248-495F-8A00-F48DD4A24B32}">
  <ds:schemaRefs>
    <ds:schemaRef ds:uri="http://schemas.microsoft.com/sharepoint/v3/contenttype/forms"/>
  </ds:schemaRefs>
</ds:datastoreItem>
</file>

<file path=customXml/itemProps2.xml><?xml version="1.0" encoding="utf-8"?>
<ds:datastoreItem xmlns:ds="http://schemas.openxmlformats.org/officeDocument/2006/customXml" ds:itemID="{7F17811E-57E7-426F-AC8D-DC128D600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ee767-d9d1-4c5c-9f78-275b37d4b4c1"/>
    <ds:schemaRef ds:uri="f07bbce7-b755-4276-b265-00613539e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6ECB8-4807-4FA1-80EC-6CE785C61842}">
  <ds:schemaRefs>
    <ds:schemaRef ds:uri="http://schemas.microsoft.com/office/2006/metadata/properties"/>
    <ds:schemaRef ds:uri="http://schemas.microsoft.com/office/infopath/2007/PartnerControls"/>
    <ds:schemaRef ds:uri="699ee767-d9d1-4c5c-9f78-275b37d4b4c1"/>
    <ds:schemaRef ds:uri="f07bbce7-b755-4276-b265-00613539e09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631</Words>
  <Characters>3471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4094</CharactersWithSpaces>
  <SharedDoc>false</SharedDoc>
  <HLinks>
    <vt:vector size="6" baseType="variant">
      <vt:variant>
        <vt:i4>327788</vt:i4>
      </vt:variant>
      <vt:variant>
        <vt:i4>0</vt:i4>
      </vt:variant>
      <vt:variant>
        <vt:i4>0</vt:i4>
      </vt:variant>
      <vt:variant>
        <vt:i4>5</vt:i4>
      </vt:variant>
      <vt:variant>
        <vt:lpwstr>mailto:adelalieux@faune-biotopes.be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Moerenhout</dc:creator>
  <cp:keywords/>
  <dc:description/>
  <cp:lastModifiedBy>Alexia Moerenhout</cp:lastModifiedBy>
  <cp:revision>2</cp:revision>
  <dcterms:created xsi:type="dcterms:W3CDTF">2025-04-01T11:22:00Z</dcterms:created>
  <dcterms:modified xsi:type="dcterms:W3CDTF">2025-04-01T11:22:00Z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0x010100D4E6D8F3974090478448F60A86C117AD</vt:lpwstr>
  </property>
  <property fmtid="{D5CDD505-2E9C-101B-9397-08002B2CF9AE}" pid="3" name="MediaServiceImageTags">
    <vt:lpwstr/>
  </property>
</Properties>
</file>